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DA" w:rsidRPr="00310E38" w:rsidRDefault="005865DA" w:rsidP="0082720F">
      <w:pPr>
        <w:pStyle w:val="ConsPlusTitle"/>
        <w:jc w:val="center"/>
        <w:outlineLvl w:val="2"/>
      </w:pPr>
      <w:r w:rsidRPr="00310E38">
        <w:t>ГЛАВА 10</w:t>
      </w:r>
    </w:p>
    <w:p w:rsidR="005865DA" w:rsidRPr="00310E38" w:rsidRDefault="005865DA" w:rsidP="0082720F">
      <w:pPr>
        <w:pStyle w:val="ConsPlusTitle"/>
        <w:jc w:val="center"/>
      </w:pPr>
      <w:r w:rsidRPr="00310E38">
        <w:t>РАЗМЕЩЕНИЕ И КРЕПЛЕНИЕ ПАКЕТОВ И ГРУЗОВ</w:t>
      </w:r>
    </w:p>
    <w:p w:rsidR="005865DA" w:rsidRPr="00310E38" w:rsidRDefault="005865DA" w:rsidP="0082720F">
      <w:pPr>
        <w:pStyle w:val="ConsPlusTitle"/>
        <w:jc w:val="center"/>
      </w:pPr>
      <w:r w:rsidRPr="00310E38">
        <w:t>В УПАКОВКЕ - МЯГКИЙ КОНТЕЙНЕР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Title"/>
        <w:jc w:val="center"/>
        <w:outlineLvl w:val="3"/>
      </w:pPr>
      <w:r w:rsidRPr="00310E38">
        <w:t>1. Общие положения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1.1. Настоящая глава устанавливает принципы размещения и крепления грузов, сформированных в пакеты, в полувагонах и на платформах.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Принципы размещения и крепления пакетов, приведенные в настоящей главе, применяются при определении способа размещения и крепления конкретных пакетов, исходя из их параметров и свойств.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1.2. Пакеты должны быть сформированы в соответствии с нормативно-технической документацией, предусматривающей возможность перевозки железнодорожным транспортом. Пакеты формируют из отдельных единиц груза в таре (например, ящиков, мешков, бочек) или без тары, скрепленных между собой с помощью средств пакетирования, на поддонах или без них (рисунок 1).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2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408pt;height:227.25pt;visibility:visible">
            <v:imagedata r:id="rId4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310E38">
        <w:t>Рисунок 1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1.3. При размещении в вагоне пакетов различной массы несколькими ярусами пакеты большей массы размещают в нижнем, а меньшей массы - в верхнем ярусе.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Между ярусами пакетов может устанавливаться прокладочный материал.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bookmarkStart w:id="0" w:name="Par117513"/>
      <w:bookmarkEnd w:id="0"/>
      <w:r w:rsidRPr="00310E38">
        <w:t>1.4. Для защиты груза от повреждения выступающими элементами вагона в необходимых случаях применяют прокладочный материал.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1.5. При размещении пакетов в полувагонах, имеющих торцевые двери, их ограждают деревянными щитами. Щит ограждения (рисунок 2) изготавливают из досок или горбыля сечением не менее 40 x 100 мм. Щит состоит из четырех вертикальных досок (стоек) и необходимого количества горизонтальных досок. Длина горизонтальных досок должна быть равна внутренней ширине кузова полувагона. Количество горизонтальных досок и расстояние между ними определяют из условия, чтобы по высоте каждого яруса пакетов располагалось не менее двух досок. Верхняя горизонтальная доска щита должна располагаться на высоте не менее 3/4 высоты пакетов верхнего яруса. Доски щита скрепляют между собой гвоздями длиной не менее 80 мм по два в каждое соединение. Щит ограждения устанавливают стойками к дверям полувагона.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131"/>
        </w:rPr>
        <w:pict>
          <v:shape id="Рисунок 11" o:spid="_x0000_i1026" type="#_x0000_t75" style="width:407.25pt;height:143.25pt;visibility:visible">
            <v:imagedata r:id="rId5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310E38">
        <w:t>Рисунок 2</w:t>
      </w:r>
    </w:p>
    <w:p w:rsidR="005865DA" w:rsidRPr="00310E38" w:rsidRDefault="005865DA" w:rsidP="0082720F">
      <w:pPr>
        <w:pStyle w:val="ConsPlusNormal"/>
        <w:jc w:val="center"/>
      </w:pPr>
      <w:r w:rsidRPr="00310E38">
        <w:t>H</w:t>
      </w:r>
      <w:r w:rsidRPr="00310E38">
        <w:rPr>
          <w:vertAlign w:val="subscript"/>
        </w:rPr>
        <w:t>п</w:t>
      </w:r>
      <w:r w:rsidRPr="00310E38">
        <w:t xml:space="preserve"> - высота пакета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Title"/>
        <w:jc w:val="center"/>
        <w:outlineLvl w:val="3"/>
      </w:pPr>
      <w:r w:rsidRPr="00310E38">
        <w:t>2. Принципы размещения и крепления пакетов в полувагонах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bookmarkStart w:id="1" w:name="Par117523"/>
      <w:bookmarkEnd w:id="1"/>
      <w:r w:rsidRPr="00310E38">
        <w:t>2.1. Пакеты размещают в полувагонах вплотную друг к другу одним штабелем по всей длине полувагона или двумя штабелями вплотную к торцевым дверям (стенам) (рисунок 3). В штабеле пакеты устанавливают одним или несколькими ярусами по высоте. Высота части пакетов верхнего яруса, выступающих над уровнем верхнего обвязочного бруса полувагона, должна быть не более 1/3 высоты пакета.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При размещении в полувагоне пакетов различной высоты в каждом ярусе штабеля размещают пакеты одинаковой высоты; более высокие пакеты размещают в нижних ярусах штабеля.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Пакеты в ярусах штабеля размещают таким образом, чтобы зазоры между пакетами и (или) пакетами и боковыми стенами полувагона были минимальными. С этой целью допускается комбинировать установку пакетов длинной стороной вдоль и поперек полувагона, а также размещать в одном полувагоне пакеты различных размеров (рисунки 3б, 3в, 3г, 3д).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Если суммарный зазор по ширине вагона между пакетами, пакетами и боковыми стенами не превышает 200 мм, пакеты размещают вплотную друг к другу симметрично относительно продольной плоскости симметрии вагона (рисунок 3а). Если суммарный зазор составляет 200 - 400 мм, пакеты размещают следующим образом: у торцевых дверей (стен) пакеты устанавливают вплотную к боковым стенам полувагона с равными зазорами между пакетами, в следующем ряду - вплотную друг к другу. Далее ряды чередуют (рисунки 3б, 3е). При таком размещении крепление пакетов в поперечном направлении допускается не производить.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Если зазор между штабелями в середине полувагона не превышает 200 мм, допускается не производить крепление пакетов в продольном направлении.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615"/>
        </w:rPr>
        <w:pict>
          <v:shape id="Рисунок 10" o:spid="_x0000_i1027" type="#_x0000_t75" style="width:6in;height:625.5pt;visibility:visible">
            <v:imagedata r:id="rId6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bookmarkStart w:id="2" w:name="Par117531"/>
      <w:bookmarkEnd w:id="2"/>
      <w:r w:rsidRPr="00310E38">
        <w:t>Рисунок 3 - Примеры размещения пакетов</w:t>
      </w:r>
    </w:p>
    <w:p w:rsidR="005865DA" w:rsidRPr="00310E38" w:rsidRDefault="005865DA" w:rsidP="0082720F">
      <w:pPr>
        <w:pStyle w:val="ConsPlusNormal"/>
        <w:jc w:val="center"/>
      </w:pPr>
      <w:r w:rsidRPr="00310E38">
        <w:t>1 - щит ограждения дверей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2.2. В полувагонах с разгрузочными люками размещение пакетов производят так, чтобы суммарная масса пакетов, опирающихся на люк, не превышала допускаемого значения нагрузки на люк, установленного главой 1 настоящих ТУ.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2.3. Допускается заполнять зазоры между пакетами в середине полувагона перевозимым в полувагоне грузом (за исключением груза в мешках), не сформированным в пакет, если при этом обеспечивается сохранность груза и пакетов (рисунок 3д).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2.4. Если при размещении пакетов в одном или нескольких ярусах зазоры вдоль вагона превышают величины, указанные в пункте 2.1 настоящей главы, пакеты закрепляют от смещения в продольном направлении (рисунок 4).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Крепление пакетов в продольном направлении производят распорными рамами (рисунки 4а, 4г, 4д), распорными конструкциями (рисунки 4б, 4в).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Длина распорных брусков распорных рам или распорных конструкций не должна превышать 1700 мм.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253"/>
        </w:rPr>
        <w:pict>
          <v:shape id="Рисунок 9" o:spid="_x0000_i1028" type="#_x0000_t75" style="width:470.25pt;height:263.25pt;visibility:visible">
            <v:imagedata r:id="rId7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bookmarkStart w:id="3" w:name="Par117542"/>
      <w:bookmarkEnd w:id="3"/>
      <w:r w:rsidRPr="00310E38">
        <w:t>Рисунок 4 - Примеры крепления пакетов</w:t>
      </w:r>
    </w:p>
    <w:p w:rsidR="005865DA" w:rsidRPr="00310E38" w:rsidRDefault="005865DA" w:rsidP="0082720F">
      <w:pPr>
        <w:pStyle w:val="ConsPlusNormal"/>
        <w:jc w:val="center"/>
      </w:pPr>
      <w:r w:rsidRPr="00310E38">
        <w:t>в продольном направлении</w:t>
      </w:r>
    </w:p>
    <w:p w:rsidR="005865DA" w:rsidRPr="00310E38" w:rsidRDefault="005865DA" w:rsidP="0082720F">
      <w:pPr>
        <w:pStyle w:val="ConsPlusNormal"/>
        <w:jc w:val="center"/>
      </w:pPr>
      <w:r w:rsidRPr="00310E38">
        <w:t>1 - распорная рама; 2 - распорная конструкция;</w:t>
      </w:r>
    </w:p>
    <w:p w:rsidR="005865DA" w:rsidRPr="00310E38" w:rsidRDefault="005865DA" w:rsidP="0082720F">
      <w:pPr>
        <w:pStyle w:val="ConsPlusNormal"/>
        <w:jc w:val="center"/>
      </w:pPr>
      <w:r w:rsidRPr="00310E38">
        <w:t>3 - подкладка; 4 - накладка-распорка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Если в одном из поперечных рядов в середине полувагона размещают меньшее количество пакетов, чем в соседних, в зазор устанавливают: при отсутствии пакета в одном ярусе - распорную раму (рисунок 4г), при отсутствии пакета в двух ярусах - распорную раму в нижнем ярусе и накладку-распорку в верхнем ярусе (рисунок 4д).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Распорную раму (рисунок 5а) выполняют из распорных брусков и упорных досок сечением не менее 40 x 100 мм, длиной не менее ширины яруса.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Накладку-распорку (рисунок 5б) выполняют из распорного бруска, упорных досок сечением не менее 40 x 100 мм, длиной не менее 200 мм и доски сечением не менее 25 x 100 мм, длиной, превышающей расстояние между пакетами на 300 - 400 мм, которую прибивают к распорному бруску гвоздями диаметром не менее 5 мм с шагом 100 - 120 мм.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Распорную конструкцию (рисунки 5в, 5г) выполняют из стоек и опорных брусков сечением не менее 40 x 100 мм, упорных досок сечением не менее 40 x 100 мм, а также распорных брусков. Упорные доски и распорные бруски в распорных конструкциях устанавливают напротив каждого закрепляемого яруса.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562"/>
        </w:rPr>
        <w:pict>
          <v:shape id="Рисунок 8" o:spid="_x0000_i1029" type="#_x0000_t75" style="width:434.25pt;height:573.75pt;visibility:visible">
            <v:imagedata r:id="rId8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bookmarkStart w:id="4" w:name="Par117554"/>
      <w:bookmarkEnd w:id="4"/>
      <w:r w:rsidRPr="00310E38">
        <w:t>Рисунок 5 - Распорная рама, накладка-распорка,</w:t>
      </w:r>
    </w:p>
    <w:p w:rsidR="005865DA" w:rsidRPr="00310E38" w:rsidRDefault="005865DA" w:rsidP="0082720F">
      <w:pPr>
        <w:pStyle w:val="ConsPlusNormal"/>
        <w:jc w:val="center"/>
      </w:pPr>
      <w:r w:rsidRPr="00310E38">
        <w:t>распорная конструкция</w:t>
      </w:r>
    </w:p>
    <w:p w:rsidR="005865DA" w:rsidRPr="00310E38" w:rsidRDefault="005865DA" w:rsidP="0082720F">
      <w:pPr>
        <w:pStyle w:val="ConsPlusNormal"/>
        <w:jc w:val="center"/>
      </w:pPr>
      <w:r w:rsidRPr="00310E38">
        <w:t>1 - упорная доска; 2 - распорный брусок; 3, 4 - накладка;</w:t>
      </w:r>
    </w:p>
    <w:p w:rsidR="005865DA" w:rsidRPr="00310E38" w:rsidRDefault="005865DA" w:rsidP="0082720F">
      <w:pPr>
        <w:pStyle w:val="ConsPlusNormal"/>
        <w:jc w:val="center"/>
      </w:pPr>
      <w:r w:rsidRPr="00310E38">
        <w:t>5 - стойка; 6, 7 - опорные бруски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Упорные доски скрепляют с распорными брусками гвоздями диаметром не менее 5 мм, остальные элементы - гвоздями диаметром не менее 4 мм, не менее двух в каждое соединение. Если толщина упорных досок составляет более 80 мм, допускается скреплять их с распорными брусками строительными скобами из прутка диаметром 6 - 8 мм.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Количество распорных брусков каждой распорной рамы и распорной конструкции для крепления в продольном направлении определяют по таблице 1 в зависимости от их сечения и массы закрепляемой группы пакетов в каждом неполном ярусе. Если масса групп пакетов не одинакова, количество распорных брусков принимается по массе более тяжелой группы.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right"/>
        <w:outlineLvl w:val="4"/>
      </w:pPr>
      <w:bookmarkStart w:id="5" w:name="Par117562"/>
      <w:bookmarkEnd w:id="5"/>
      <w:r w:rsidRPr="00310E38">
        <w:t>Таблица 1</w:t>
      </w:r>
    </w:p>
    <w:p w:rsidR="005865DA" w:rsidRPr="00310E38" w:rsidRDefault="005865DA" w:rsidP="008272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221"/>
        <w:gridCol w:w="2457"/>
      </w:tblGrid>
      <w:tr w:rsidR="005865DA" w:rsidRPr="00310E38" w:rsidTr="00852BE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Сечение распорного бруска, мм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Количество распорных брусков в зависимости от массы группы пакетов в каждом неполном ярусе</w:t>
            </w:r>
          </w:p>
        </w:tc>
      </w:tr>
      <w:tr w:rsidR="005865DA" w:rsidRPr="00310E38" w:rsidTr="00852BE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A" w:rsidRPr="00310E38" w:rsidRDefault="005865DA" w:rsidP="00900BB0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до 5 т вкл.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свыше 5 т до 10 т вкл.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свыше 10 т до 15 т вкл.</w:t>
            </w:r>
          </w:p>
        </w:tc>
      </w:tr>
      <w:tr w:rsidR="005865DA" w:rsidRPr="00310E38" w:rsidTr="00852B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50 x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7</w:t>
            </w:r>
          </w:p>
        </w:tc>
      </w:tr>
      <w:tr w:rsidR="005865DA" w:rsidRPr="00310E38" w:rsidTr="00852B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80 x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5</w:t>
            </w:r>
          </w:p>
        </w:tc>
      </w:tr>
      <w:tr w:rsidR="005865DA" w:rsidRPr="00310E38" w:rsidTr="00852B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100 x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A" w:rsidRPr="00310E38" w:rsidRDefault="005865DA" w:rsidP="00900BB0">
            <w:pPr>
              <w:pStyle w:val="ConsPlusNormal"/>
              <w:jc w:val="center"/>
            </w:pPr>
            <w:r w:rsidRPr="00310E38">
              <w:t>4</w:t>
            </w:r>
          </w:p>
        </w:tc>
      </w:tr>
    </w:tbl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При применении брусков, имеющих сечение, отличающееся от приведенных в таблице 1, количество брусков определяют как для брусков с ближайшими меньшими размерами сечения.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В распорных рамах с двумя распорными брусками их располагают на расстоянии от концов упорной доски, равном приблизительно 1/4 длины упорной доски, в остальных случаях - на равном расстоянии от концов упорной доски и между распорными брусками.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Между пакетами и упорными досками допускается устанавливать прокладочный материал.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2.5. Если при размещении пакетов в одном или нескольких ярусах зазоры поперек вагона превышают величины, указанные в пункте 2.1 настоящей главы, пакеты закрепляют от смещения в поперечном направлении распорными щитами (рисунок 6).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118"/>
        </w:rPr>
        <w:pict>
          <v:shape id="Рисунок 7" o:spid="_x0000_i1030" type="#_x0000_t75" style="width:472.5pt;height:130.5pt;visibility:visible">
            <v:imagedata r:id="rId9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bookmarkStart w:id="6" w:name="Par117589"/>
      <w:bookmarkEnd w:id="6"/>
      <w:r w:rsidRPr="00310E38">
        <w:t>Рисунок 6 - Примеры крепления пакетов</w:t>
      </w:r>
    </w:p>
    <w:p w:rsidR="005865DA" w:rsidRPr="00310E38" w:rsidRDefault="005865DA" w:rsidP="0082720F">
      <w:pPr>
        <w:pStyle w:val="ConsPlusNormal"/>
        <w:jc w:val="center"/>
      </w:pPr>
      <w:r w:rsidRPr="00310E38">
        <w:t>в поперечном направлении</w:t>
      </w:r>
    </w:p>
    <w:p w:rsidR="005865DA" w:rsidRPr="00310E38" w:rsidRDefault="005865DA" w:rsidP="0082720F">
      <w:pPr>
        <w:pStyle w:val="ConsPlusNormal"/>
        <w:jc w:val="center"/>
      </w:pPr>
      <w:r w:rsidRPr="00310E38">
        <w:t>1 - торцевой щит; 2 - распорный щит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При размещении пакетов плотными штабелями в середине вагона (рисунок 6а) в зазоры между штабелями и боковыми стенами по длине трех крайних поперечных рядов устанавливают распорные щиты (рисунок 7а) из стоек и упорных досок сечением не менее 40 x 100 мм. Щиты изготавливают таким образом, чтобы стойки щита располагались приблизительно посередине пакета, упорные доски - приблизительно на высоте середины ярусов пакетов. Распорные щиты устанавливают стойками к боковой стене вагона.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341"/>
        </w:rPr>
        <w:pict>
          <v:shape id="Рисунок 6" o:spid="_x0000_i1031" type="#_x0000_t75" style="width:439.5pt;height:353.25pt;visibility:visible">
            <v:imagedata r:id="rId10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bookmarkStart w:id="7" w:name="Par117597"/>
      <w:bookmarkEnd w:id="7"/>
      <w:r w:rsidRPr="00310E38">
        <w:t>Рисунок 7 - Варианты изготовления распорного щита</w:t>
      </w:r>
    </w:p>
    <w:p w:rsidR="005865DA" w:rsidRPr="00310E38" w:rsidRDefault="005865DA" w:rsidP="0082720F">
      <w:pPr>
        <w:pStyle w:val="ConsPlusNormal"/>
        <w:jc w:val="center"/>
      </w:pPr>
      <w:r w:rsidRPr="00310E38">
        <w:t>1 - стойка; 2 - упорная доска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Размеры сечения стоек и упорных досок подбирают таким образом, чтобы после установки щита зазор между щитом и пакетами не превышал 50 мм. Доски щита скрепляют со стойками гвоздями длиной не менее 80 мм по два в каждое соединение.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При размещении пакетов двумя штабелями по ширине полувагона вплотную к боковым стенам (рисунок 6б) распорные щиты (рисунок 7б) устанавливают в зазор между пакетами в середине вагона. Щиты изготавливают аналогичным образом, но упорные доски прибивают к стойкам с обеих сторон.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Допускается выполнять распорные щиты составными (с количеством стоек не менее двух) и устанавливать их вплотную друг к другу.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Допускается заполнять зазор между пакетами, пакетами и боковыми стенами вагона твердым прокладочным материалом необходимой толщины, а также использовать этот материал совместно с распорными щитами.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Title"/>
        <w:jc w:val="center"/>
        <w:outlineLvl w:val="3"/>
      </w:pPr>
      <w:r w:rsidRPr="00310E38">
        <w:t>3. Принципы размещения и крепления пакетов</w:t>
      </w:r>
    </w:p>
    <w:p w:rsidR="005865DA" w:rsidRPr="00310E38" w:rsidRDefault="005865DA" w:rsidP="0082720F">
      <w:pPr>
        <w:pStyle w:val="ConsPlusTitle"/>
        <w:jc w:val="center"/>
      </w:pPr>
      <w:r w:rsidRPr="00310E38">
        <w:t>на универсальных платформах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На универсальных платформах пакеты размещают непосредственно на пол платформы вплотную друг к другу одним штабелем по всей длине пола платформы в один ярус по высоте вплотную к торцевым бортам симметрично относительно продольной и поперечной плоскостей платформы (рисунок 8).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Борта платформы должны быть закрыты, а торцевые борта платформы дополнительно подкреплены короткими стойками в соответствии с положениями главы 1 настоящих ТУ.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202"/>
        </w:rPr>
        <w:pict>
          <v:shape id="Рисунок 5" o:spid="_x0000_i1032" type="#_x0000_t75" style="width:426pt;height:213pt;visibility:visible">
            <v:imagedata r:id="rId11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bookmarkStart w:id="8" w:name="Par117613"/>
      <w:bookmarkEnd w:id="8"/>
      <w:r w:rsidRPr="00310E38">
        <w:t>Рисунок 8 - Принципиальная схема размещения</w:t>
      </w:r>
    </w:p>
    <w:p w:rsidR="005865DA" w:rsidRPr="00310E38" w:rsidRDefault="005865DA" w:rsidP="0082720F">
      <w:pPr>
        <w:pStyle w:val="ConsPlusNormal"/>
        <w:jc w:val="center"/>
      </w:pPr>
      <w:r w:rsidRPr="00310E38">
        <w:t>и крепления пакетов на платформе</w:t>
      </w:r>
    </w:p>
    <w:p w:rsidR="005865DA" w:rsidRPr="00310E38" w:rsidRDefault="005865DA" w:rsidP="0082720F">
      <w:pPr>
        <w:pStyle w:val="ConsPlusNormal"/>
        <w:jc w:val="center"/>
      </w:pPr>
      <w:r w:rsidRPr="00310E38">
        <w:t>1 - короткая стойка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Пакеты в штабеле (в штабелях) размещают таким образом, чтобы зазор между пакетами в середине платформы не превышал 200 мм, зазоры между пакетами и боковыми бортами платформы - не более 100 мм с каждой стороны. С этой целью допускается комбинировать установку пакетов длинной стороной вдоль и поперек платформы.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Title"/>
        <w:jc w:val="center"/>
        <w:outlineLvl w:val="3"/>
      </w:pPr>
      <w:r w:rsidRPr="00310E38">
        <w:t>4. Размещение и крепление грузов</w:t>
      </w:r>
    </w:p>
    <w:p w:rsidR="005865DA" w:rsidRPr="00310E38" w:rsidRDefault="005865DA" w:rsidP="0082720F">
      <w:pPr>
        <w:pStyle w:val="ConsPlusTitle"/>
        <w:jc w:val="center"/>
      </w:pPr>
      <w:r w:rsidRPr="00310E38">
        <w:t>в упаковке - мягкий контейнер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4.1. Настоящий пункт устанавливает способы размещения и крепления грузов в упаковке - мягкий контейнер (далее - мягкий контейнер).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4.2. Мягкий контейнер МК-14-10 имеет следующие параметры:</w:t>
      </w:r>
    </w:p>
    <w:p w:rsidR="005865DA" w:rsidRPr="00310E38" w:rsidRDefault="005865DA" w:rsidP="008272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9"/>
        <w:gridCol w:w="2040"/>
      </w:tblGrid>
      <w:tr w:rsidR="005865DA" w:rsidRPr="00310E38" w:rsidTr="00900BB0">
        <w:tc>
          <w:tcPr>
            <w:tcW w:w="7029" w:type="dxa"/>
          </w:tcPr>
          <w:p w:rsidR="005865DA" w:rsidRPr="00310E38" w:rsidRDefault="005865DA" w:rsidP="00900BB0">
            <w:pPr>
              <w:pStyle w:val="ConsPlusNormal"/>
              <w:jc w:val="both"/>
            </w:pPr>
            <w:r w:rsidRPr="00310E38">
              <w:t>- максимальная масса брутто, т</w:t>
            </w:r>
          </w:p>
        </w:tc>
        <w:tc>
          <w:tcPr>
            <w:tcW w:w="2040" w:type="dxa"/>
          </w:tcPr>
          <w:p w:rsidR="005865DA" w:rsidRPr="00310E38" w:rsidRDefault="005865DA" w:rsidP="00900BB0">
            <w:pPr>
              <w:pStyle w:val="ConsPlusNormal"/>
              <w:jc w:val="both"/>
            </w:pPr>
            <w:r w:rsidRPr="00310E38">
              <w:t>14,1</w:t>
            </w:r>
          </w:p>
        </w:tc>
      </w:tr>
      <w:tr w:rsidR="005865DA" w:rsidRPr="00310E38" w:rsidTr="00900BB0">
        <w:tc>
          <w:tcPr>
            <w:tcW w:w="7029" w:type="dxa"/>
          </w:tcPr>
          <w:p w:rsidR="005865DA" w:rsidRPr="00310E38" w:rsidRDefault="005865DA" w:rsidP="00900BB0">
            <w:pPr>
              <w:pStyle w:val="ConsPlusNormal"/>
              <w:jc w:val="both"/>
            </w:pPr>
            <w:r w:rsidRPr="00310E38">
              <w:t>- габаритные размеры в заполненном состоянии, мм:</w:t>
            </w:r>
          </w:p>
        </w:tc>
        <w:tc>
          <w:tcPr>
            <w:tcW w:w="2040" w:type="dxa"/>
          </w:tcPr>
          <w:p w:rsidR="005865DA" w:rsidRPr="00310E38" w:rsidRDefault="005865DA" w:rsidP="00900BB0">
            <w:pPr>
              <w:pStyle w:val="ConsPlusNormal"/>
            </w:pPr>
          </w:p>
        </w:tc>
      </w:tr>
      <w:tr w:rsidR="005865DA" w:rsidRPr="00310E38" w:rsidTr="00900BB0">
        <w:tc>
          <w:tcPr>
            <w:tcW w:w="7029" w:type="dxa"/>
          </w:tcPr>
          <w:p w:rsidR="005865DA" w:rsidRPr="00310E38" w:rsidRDefault="005865DA" w:rsidP="00900BB0">
            <w:pPr>
              <w:pStyle w:val="ConsPlusNormal"/>
              <w:ind w:left="283"/>
              <w:jc w:val="both"/>
            </w:pPr>
            <w:r w:rsidRPr="00310E38">
              <w:t>диаметр</w:t>
            </w:r>
          </w:p>
        </w:tc>
        <w:tc>
          <w:tcPr>
            <w:tcW w:w="2040" w:type="dxa"/>
          </w:tcPr>
          <w:p w:rsidR="005865DA" w:rsidRPr="00310E38" w:rsidRDefault="005865DA" w:rsidP="00900BB0">
            <w:pPr>
              <w:pStyle w:val="ConsPlusNormal"/>
              <w:jc w:val="both"/>
            </w:pPr>
            <w:r w:rsidRPr="00310E38">
              <w:t>2400 + 50</w:t>
            </w:r>
          </w:p>
        </w:tc>
      </w:tr>
      <w:tr w:rsidR="005865DA" w:rsidRPr="00310E38" w:rsidTr="00900BB0">
        <w:tc>
          <w:tcPr>
            <w:tcW w:w="7029" w:type="dxa"/>
          </w:tcPr>
          <w:p w:rsidR="005865DA" w:rsidRPr="00310E38" w:rsidRDefault="005865DA" w:rsidP="00900BB0">
            <w:pPr>
              <w:pStyle w:val="ConsPlusNormal"/>
              <w:ind w:left="283"/>
              <w:jc w:val="both"/>
            </w:pPr>
            <w:r w:rsidRPr="00310E38">
              <w:t>высота</w:t>
            </w:r>
          </w:p>
        </w:tc>
        <w:tc>
          <w:tcPr>
            <w:tcW w:w="2040" w:type="dxa"/>
          </w:tcPr>
          <w:p w:rsidR="005865DA" w:rsidRPr="00310E38" w:rsidRDefault="005865DA" w:rsidP="00900BB0">
            <w:pPr>
              <w:pStyle w:val="ConsPlusNormal"/>
              <w:jc w:val="both"/>
            </w:pPr>
            <w:r w:rsidRPr="00310E38">
              <w:t>2800 + 50</w:t>
            </w:r>
          </w:p>
        </w:tc>
      </w:tr>
    </w:tbl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В полувагоне размещают пять мягких контейнеров непосредственно на пол симметрично относительно продольной и поперечной плоскостей симметрии вагона (рисунок 9). Погрузку производят от торцевых дверей (стен) к середине полувагона, при этом зазоры между крайними мягкими контейнерами и торцевыми дверями (стенами) не должны превышать 100 мм. Зазоры между мягкими контейнерами должны быть равными. После установки в вагон грузовые петли каждого мягкого контейнера вручную стягивают между собой.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Аналогичным порядком размещают в полувагонах мягкие контейнеры с такими же параметрами, изготовленные в соответствии с национальными стандартами (техническими условиями).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155"/>
        </w:rPr>
        <w:pict>
          <v:shape id="Рисунок 4" o:spid="_x0000_i1033" type="#_x0000_t75" style="width:371.25pt;height:166.5pt;visibility:visible">
            <v:imagedata r:id="rId12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bookmarkStart w:id="9" w:name="Par117639"/>
      <w:bookmarkEnd w:id="9"/>
      <w:r w:rsidRPr="00310E38">
        <w:t>Рисунок 9 - Размещение мягких контейнеров МК-14-10</w:t>
      </w:r>
    </w:p>
    <w:p w:rsidR="005865DA" w:rsidRPr="00310E38" w:rsidRDefault="005865DA" w:rsidP="0082720F">
      <w:pPr>
        <w:pStyle w:val="ConsPlusNormal"/>
        <w:jc w:val="center"/>
      </w:pPr>
      <w:r w:rsidRPr="00310E38">
        <w:t>в полувагоне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bookmarkStart w:id="10" w:name="Par117642"/>
      <w:bookmarkEnd w:id="10"/>
      <w:r w:rsidRPr="00310E38">
        <w:t>4.3. Мягкие контейнеры типов МКР, МКС, МКО имеют следующие параметры: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- масса брутто 0,5 - 2,0 т;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- диаметр (в заполненном состоянии) 760 - 1340 мм;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- максимальная высота контейнера в заполненном состоянии не должна превышать удвоенной величины диаметра.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Схемы размещения и крепления мягких контейнеров в полувагонах приведены на рисунках 10, 11, 12.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Перед погрузкой должны быть приняты меры, исключающие повреждение мягких контейнеров элементами конструкции вагона.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Контейнеры размещают в полувагоне в вертикальном положении в один или два яруса по высоте (рисунок 10). Размещение контейнеров начинают от торцевых дверей (стен). Высота погрузки над уровнем верхнего обвязочного бруса полувагона не должна превышать 1/3 высоты контейнеров верхнего яруса, но не более 400 мм.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185"/>
        </w:rPr>
        <w:pict>
          <v:shape id="Рисунок 3" o:spid="_x0000_i1034" type="#_x0000_t75" style="width:319.5pt;height:197.25pt;visibility:visible">
            <v:imagedata r:id="rId13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bookmarkStart w:id="11" w:name="Par117652"/>
      <w:bookmarkEnd w:id="11"/>
      <w:r w:rsidRPr="00310E38">
        <w:t>Рисунок 10 - Принципиальная схема размещения мягких</w:t>
      </w:r>
    </w:p>
    <w:p w:rsidR="005865DA" w:rsidRPr="00310E38" w:rsidRDefault="005865DA" w:rsidP="0082720F">
      <w:pPr>
        <w:pStyle w:val="ConsPlusNormal"/>
        <w:jc w:val="center"/>
      </w:pPr>
      <w:r w:rsidRPr="00310E38">
        <w:t>контейнеров в полувагоне в один или два яруса по высоте</w:t>
      </w:r>
    </w:p>
    <w:p w:rsidR="005865DA" w:rsidRPr="00310E38" w:rsidRDefault="005865DA" w:rsidP="0082720F">
      <w:pPr>
        <w:pStyle w:val="ConsPlusNormal"/>
        <w:jc w:val="center"/>
      </w:pPr>
      <w:r w:rsidRPr="00310E38">
        <w:t>а - в два яруса по высоте; б - в один ярус по высоте</w:t>
      </w:r>
    </w:p>
    <w:p w:rsidR="005865DA" w:rsidRPr="00310E38" w:rsidRDefault="005865DA" w:rsidP="0082720F">
      <w:pPr>
        <w:pStyle w:val="ConsPlusNormal"/>
        <w:jc w:val="center"/>
      </w:pPr>
      <w:r w:rsidRPr="00310E38">
        <w:t>h</w:t>
      </w:r>
      <w:r w:rsidRPr="00310E38">
        <w:rPr>
          <w:vertAlign w:val="subscript"/>
        </w:rPr>
        <w:t>загр</w:t>
      </w:r>
      <w:r w:rsidRPr="00310E38">
        <w:t xml:space="preserve"> - высота загруженного контейнера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Контейнеры в первом ярусе (рисунок 11) размещают по всей площади пола вплотную к торцевым дверям (стенам) полувагона, боковым стенам и друг к другу поперечными или продольными рядами (рисунок 11б, г) или в шахматном порядке (рисунок 11а, в).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При этом в полувагонах с торцевыми дверями у торцевых дверей размещают поперечный ряд с наибольшим количеством контейнеров (рисунок 11в). Количество контейнеров в первом ярусе определяется в зависимости от диаметра контейнера и внутренних размеров кузова полувагона.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Контейнеры во втором ярусе (рисунок 12) размещают аналогично первому ярусу. Допускается во втором ярусе размещать меньшее количество контейнеров, чем в первом. При этом их размещают двумя группами у торцевых дверей (стен).</w:t>
      </w:r>
    </w:p>
    <w:p w:rsidR="005865DA" w:rsidRPr="00310E38" w:rsidRDefault="005865DA" w:rsidP="0082720F">
      <w:pPr>
        <w:pStyle w:val="ConsPlusNormal"/>
        <w:spacing w:before="240"/>
        <w:ind w:firstLine="540"/>
        <w:jc w:val="both"/>
      </w:pPr>
      <w:r w:rsidRPr="00310E38">
        <w:t>При размещении в шахматном порядке допускается в группах второго яруса кососимметричное расположение контейнеров (рисунок 12а, 12б, 12е). Допускается в группах второго яруса размещать разное количество контейнеров при условии, что общие массы этих групп различаются не более чем на 2,5 т.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301"/>
        </w:rPr>
        <w:pict>
          <v:shape id="Рисунок 2" o:spid="_x0000_i1035" type="#_x0000_t75" style="width:261.75pt;height:310.5pt;visibility:visible">
            <v:imagedata r:id="rId14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bookmarkStart w:id="12" w:name="Par117664"/>
      <w:bookmarkEnd w:id="12"/>
      <w:r w:rsidRPr="00310E38">
        <w:t>Рисунок 11 - Принципиальная схема размещения мягких</w:t>
      </w:r>
    </w:p>
    <w:p w:rsidR="005865DA" w:rsidRPr="00310E38" w:rsidRDefault="005865DA" w:rsidP="0082720F">
      <w:pPr>
        <w:pStyle w:val="ConsPlusNormal"/>
        <w:jc w:val="center"/>
      </w:pPr>
      <w:r w:rsidRPr="00310E38">
        <w:t>контейнеров в первом ярусе:</w:t>
      </w:r>
    </w:p>
    <w:p w:rsidR="005865DA" w:rsidRPr="00310E38" w:rsidRDefault="005865DA" w:rsidP="0082720F">
      <w:pPr>
        <w:pStyle w:val="ConsPlusNormal"/>
        <w:jc w:val="center"/>
      </w:pPr>
      <w:r w:rsidRPr="00310E38">
        <w:t>а - четыре контейнера по ширине; б, в - три контейнера</w:t>
      </w:r>
    </w:p>
    <w:p w:rsidR="005865DA" w:rsidRPr="00310E38" w:rsidRDefault="005865DA" w:rsidP="0082720F">
      <w:pPr>
        <w:pStyle w:val="ConsPlusNormal"/>
        <w:jc w:val="center"/>
      </w:pPr>
      <w:r w:rsidRPr="00310E38">
        <w:t>по ширине; г - два контейнера по ширине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Если высота заполненных контейнеров больше их диаметра, и второй ярус заполнен не полностью, несколько контейнеров, расположенных в торцах групп, обращенных к середине вагона, увязывают между собой за стропы увязкой из полимерного троса, ленты и т.п., имеющими прочность на разрыв не менее 200 кг. При этом необходимо увязывать не менее чем по два соседних контейнера, расположенных вдоль вагона, или (при размещении в шахматном порядке) не менее чем три соседних контейнера. Все увязываемые контейнеры должны быть размещены вплотную друг к другу. Варианты увязывания приведены на рисунке 12.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r w:rsidRPr="00475705">
        <w:rPr>
          <w:noProof/>
          <w:position w:val="-264"/>
        </w:rPr>
        <w:pict>
          <v:shape id="Рисунок 1" o:spid="_x0000_i1036" type="#_x0000_t75" style="width:375.75pt;height:273.75pt;visibility:visible">
            <v:imagedata r:id="rId15" o:title=""/>
          </v:shape>
        </w:pic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jc w:val="center"/>
      </w:pPr>
      <w:bookmarkStart w:id="13" w:name="Par117673"/>
      <w:bookmarkEnd w:id="13"/>
      <w:r w:rsidRPr="00310E38">
        <w:t>Рисунок 12 - Размещение мягких контейнеров во втором ярусе</w:t>
      </w:r>
    </w:p>
    <w:p w:rsidR="005865DA" w:rsidRPr="00310E38" w:rsidRDefault="005865DA" w:rsidP="0082720F">
      <w:pPr>
        <w:pStyle w:val="ConsPlusNormal"/>
        <w:jc w:val="center"/>
      </w:pPr>
      <w:r w:rsidRPr="00310E38">
        <w:t>* - обозначение контейнеров, размещенных в первом ярусе</w:t>
      </w:r>
    </w:p>
    <w:p w:rsidR="005865DA" w:rsidRPr="00310E38" w:rsidRDefault="005865DA" w:rsidP="0082720F">
      <w:pPr>
        <w:pStyle w:val="ConsPlusNormal"/>
        <w:jc w:val="both"/>
      </w:pPr>
    </w:p>
    <w:p w:rsidR="005865DA" w:rsidRPr="00310E38" w:rsidRDefault="005865DA" w:rsidP="0082720F">
      <w:pPr>
        <w:pStyle w:val="ConsPlusNormal"/>
        <w:ind w:firstLine="540"/>
        <w:jc w:val="both"/>
      </w:pPr>
      <w:r w:rsidRPr="00310E38">
        <w:t>4.4. Размещение и крепление других мягких контейнеров, соответствующих требованиям Международного стандарта ИСО (ISO) 21898 и имеющих такие же параметры, производится в соответствии с требованиями пункта 4.3 настоящей главы.</w:t>
      </w:r>
    </w:p>
    <w:p w:rsidR="005865DA" w:rsidRPr="00310E38" w:rsidRDefault="005865DA"/>
    <w:sectPr w:rsidR="005865DA" w:rsidRPr="00310E38" w:rsidSect="00852BE9">
      <w:pgSz w:w="11906" w:h="16838"/>
      <w:pgMar w:top="993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20F"/>
    <w:rsid w:val="000056C2"/>
    <w:rsid w:val="0000658D"/>
    <w:rsid w:val="00010B61"/>
    <w:rsid w:val="00011788"/>
    <w:rsid w:val="00016A8B"/>
    <w:rsid w:val="000203D5"/>
    <w:rsid w:val="00021407"/>
    <w:rsid w:val="00022905"/>
    <w:rsid w:val="00024150"/>
    <w:rsid w:val="000254DE"/>
    <w:rsid w:val="0002684F"/>
    <w:rsid w:val="00026D38"/>
    <w:rsid w:val="00030278"/>
    <w:rsid w:val="000329BE"/>
    <w:rsid w:val="000339E2"/>
    <w:rsid w:val="000356D4"/>
    <w:rsid w:val="00035D37"/>
    <w:rsid w:val="000361E1"/>
    <w:rsid w:val="0003622C"/>
    <w:rsid w:val="00036DD0"/>
    <w:rsid w:val="00042DC7"/>
    <w:rsid w:val="00044F40"/>
    <w:rsid w:val="00050E2F"/>
    <w:rsid w:val="00054E89"/>
    <w:rsid w:val="00056732"/>
    <w:rsid w:val="0007566C"/>
    <w:rsid w:val="00076232"/>
    <w:rsid w:val="000843A1"/>
    <w:rsid w:val="00086637"/>
    <w:rsid w:val="00086C7A"/>
    <w:rsid w:val="00093280"/>
    <w:rsid w:val="00094155"/>
    <w:rsid w:val="00094298"/>
    <w:rsid w:val="00094B68"/>
    <w:rsid w:val="0009632C"/>
    <w:rsid w:val="00097383"/>
    <w:rsid w:val="00097B41"/>
    <w:rsid w:val="000A1387"/>
    <w:rsid w:val="000A1F30"/>
    <w:rsid w:val="000A3F58"/>
    <w:rsid w:val="000B1D47"/>
    <w:rsid w:val="000B6065"/>
    <w:rsid w:val="000B60AE"/>
    <w:rsid w:val="000C0B24"/>
    <w:rsid w:val="000C1C04"/>
    <w:rsid w:val="000C1E9F"/>
    <w:rsid w:val="000C6283"/>
    <w:rsid w:val="000D00C2"/>
    <w:rsid w:val="000D2CDB"/>
    <w:rsid w:val="000D59D7"/>
    <w:rsid w:val="000D5CF9"/>
    <w:rsid w:val="000D6B3D"/>
    <w:rsid w:val="000E0482"/>
    <w:rsid w:val="000E33F4"/>
    <w:rsid w:val="000E538D"/>
    <w:rsid w:val="000E58A4"/>
    <w:rsid w:val="000E62B5"/>
    <w:rsid w:val="000E6525"/>
    <w:rsid w:val="000F0D82"/>
    <w:rsid w:val="000F294F"/>
    <w:rsid w:val="000F4FCE"/>
    <w:rsid w:val="000F71F7"/>
    <w:rsid w:val="00102601"/>
    <w:rsid w:val="00103241"/>
    <w:rsid w:val="0010396B"/>
    <w:rsid w:val="00111E02"/>
    <w:rsid w:val="001130A6"/>
    <w:rsid w:val="00113702"/>
    <w:rsid w:val="00115C1A"/>
    <w:rsid w:val="00116C5D"/>
    <w:rsid w:val="00116DAF"/>
    <w:rsid w:val="00121A11"/>
    <w:rsid w:val="001230D4"/>
    <w:rsid w:val="00124249"/>
    <w:rsid w:val="001254D0"/>
    <w:rsid w:val="0013111F"/>
    <w:rsid w:val="001314E2"/>
    <w:rsid w:val="00137B3F"/>
    <w:rsid w:val="00145124"/>
    <w:rsid w:val="00147A8B"/>
    <w:rsid w:val="00150162"/>
    <w:rsid w:val="00152256"/>
    <w:rsid w:val="00154522"/>
    <w:rsid w:val="00161D0B"/>
    <w:rsid w:val="00167F5D"/>
    <w:rsid w:val="00172323"/>
    <w:rsid w:val="001725B3"/>
    <w:rsid w:val="001752B1"/>
    <w:rsid w:val="001768C4"/>
    <w:rsid w:val="00183CAD"/>
    <w:rsid w:val="00187898"/>
    <w:rsid w:val="00187A60"/>
    <w:rsid w:val="00187C6C"/>
    <w:rsid w:val="00193145"/>
    <w:rsid w:val="0019400F"/>
    <w:rsid w:val="00195060"/>
    <w:rsid w:val="00195C1B"/>
    <w:rsid w:val="00195E2A"/>
    <w:rsid w:val="00196CEA"/>
    <w:rsid w:val="001A01A8"/>
    <w:rsid w:val="001A0376"/>
    <w:rsid w:val="001A0FEB"/>
    <w:rsid w:val="001A1252"/>
    <w:rsid w:val="001A21AC"/>
    <w:rsid w:val="001A2D5C"/>
    <w:rsid w:val="001A4A16"/>
    <w:rsid w:val="001A6F6F"/>
    <w:rsid w:val="001B00DF"/>
    <w:rsid w:val="001B1E3C"/>
    <w:rsid w:val="001B2B37"/>
    <w:rsid w:val="001B4FD9"/>
    <w:rsid w:val="001C276A"/>
    <w:rsid w:val="001C4635"/>
    <w:rsid w:val="001C469B"/>
    <w:rsid w:val="001D212A"/>
    <w:rsid w:val="001D2540"/>
    <w:rsid w:val="001D587F"/>
    <w:rsid w:val="001D623B"/>
    <w:rsid w:val="001D7881"/>
    <w:rsid w:val="001D7D2F"/>
    <w:rsid w:val="001E0B1A"/>
    <w:rsid w:val="001E1D2C"/>
    <w:rsid w:val="001E45EC"/>
    <w:rsid w:val="001F0C6C"/>
    <w:rsid w:val="001F3F45"/>
    <w:rsid w:val="00204FDD"/>
    <w:rsid w:val="00210254"/>
    <w:rsid w:val="00212E0C"/>
    <w:rsid w:val="00213DE7"/>
    <w:rsid w:val="00222AC4"/>
    <w:rsid w:val="00222AF5"/>
    <w:rsid w:val="00224AAB"/>
    <w:rsid w:val="00225B1F"/>
    <w:rsid w:val="00225B6A"/>
    <w:rsid w:val="00227303"/>
    <w:rsid w:val="00230371"/>
    <w:rsid w:val="00231B82"/>
    <w:rsid w:val="00236643"/>
    <w:rsid w:val="0023710D"/>
    <w:rsid w:val="002374F0"/>
    <w:rsid w:val="002401D3"/>
    <w:rsid w:val="00241719"/>
    <w:rsid w:val="00245178"/>
    <w:rsid w:val="00246596"/>
    <w:rsid w:val="00251FBF"/>
    <w:rsid w:val="00254E66"/>
    <w:rsid w:val="00257E9C"/>
    <w:rsid w:val="00267DDC"/>
    <w:rsid w:val="00272825"/>
    <w:rsid w:val="0027504D"/>
    <w:rsid w:val="0028422C"/>
    <w:rsid w:val="00286DE9"/>
    <w:rsid w:val="00287363"/>
    <w:rsid w:val="002909E0"/>
    <w:rsid w:val="00290FA8"/>
    <w:rsid w:val="00295127"/>
    <w:rsid w:val="00295499"/>
    <w:rsid w:val="002960C6"/>
    <w:rsid w:val="002A4520"/>
    <w:rsid w:val="002B4F0B"/>
    <w:rsid w:val="002B594E"/>
    <w:rsid w:val="002B5C68"/>
    <w:rsid w:val="002C00BF"/>
    <w:rsid w:val="002C493C"/>
    <w:rsid w:val="002C5808"/>
    <w:rsid w:val="002C701F"/>
    <w:rsid w:val="002D2F0D"/>
    <w:rsid w:val="002D4154"/>
    <w:rsid w:val="002D45D7"/>
    <w:rsid w:val="002D5BF1"/>
    <w:rsid w:val="002D7737"/>
    <w:rsid w:val="002D785C"/>
    <w:rsid w:val="002D7AB7"/>
    <w:rsid w:val="002E01F0"/>
    <w:rsid w:val="002E117A"/>
    <w:rsid w:val="002E253D"/>
    <w:rsid w:val="002E3095"/>
    <w:rsid w:val="002E3BB0"/>
    <w:rsid w:val="002E489D"/>
    <w:rsid w:val="002E6ABA"/>
    <w:rsid w:val="002E7485"/>
    <w:rsid w:val="002E7C1F"/>
    <w:rsid w:val="002F1174"/>
    <w:rsid w:val="002F52CF"/>
    <w:rsid w:val="00300B24"/>
    <w:rsid w:val="0030460C"/>
    <w:rsid w:val="00306B7F"/>
    <w:rsid w:val="00307282"/>
    <w:rsid w:val="00310633"/>
    <w:rsid w:val="00310E38"/>
    <w:rsid w:val="0031174F"/>
    <w:rsid w:val="003150C9"/>
    <w:rsid w:val="00323CFF"/>
    <w:rsid w:val="00324392"/>
    <w:rsid w:val="00332439"/>
    <w:rsid w:val="00345564"/>
    <w:rsid w:val="00346B7F"/>
    <w:rsid w:val="00352492"/>
    <w:rsid w:val="00352B90"/>
    <w:rsid w:val="00354F3D"/>
    <w:rsid w:val="00355B5E"/>
    <w:rsid w:val="00356AD2"/>
    <w:rsid w:val="00357173"/>
    <w:rsid w:val="0035791E"/>
    <w:rsid w:val="00371476"/>
    <w:rsid w:val="00371F8C"/>
    <w:rsid w:val="00380543"/>
    <w:rsid w:val="003849F0"/>
    <w:rsid w:val="00392291"/>
    <w:rsid w:val="003960CA"/>
    <w:rsid w:val="00396410"/>
    <w:rsid w:val="003A3CB9"/>
    <w:rsid w:val="003A546E"/>
    <w:rsid w:val="003A5EB7"/>
    <w:rsid w:val="003A63D9"/>
    <w:rsid w:val="003B0CD7"/>
    <w:rsid w:val="003B0D96"/>
    <w:rsid w:val="003B5708"/>
    <w:rsid w:val="003B7759"/>
    <w:rsid w:val="003C19C9"/>
    <w:rsid w:val="003C23C7"/>
    <w:rsid w:val="003C5EBC"/>
    <w:rsid w:val="003C6813"/>
    <w:rsid w:val="003D0AB5"/>
    <w:rsid w:val="003D1B35"/>
    <w:rsid w:val="003D1E08"/>
    <w:rsid w:val="003D453C"/>
    <w:rsid w:val="003D5B05"/>
    <w:rsid w:val="003E033B"/>
    <w:rsid w:val="003E1B57"/>
    <w:rsid w:val="003E23B5"/>
    <w:rsid w:val="003E4852"/>
    <w:rsid w:val="003E4AD0"/>
    <w:rsid w:val="003E7722"/>
    <w:rsid w:val="003F007A"/>
    <w:rsid w:val="003F2458"/>
    <w:rsid w:val="003F2F84"/>
    <w:rsid w:val="003F2FFB"/>
    <w:rsid w:val="003F44F5"/>
    <w:rsid w:val="003F4CF5"/>
    <w:rsid w:val="003F5063"/>
    <w:rsid w:val="003F5276"/>
    <w:rsid w:val="003F5A4A"/>
    <w:rsid w:val="003F6216"/>
    <w:rsid w:val="004003DD"/>
    <w:rsid w:val="004047AC"/>
    <w:rsid w:val="00405A7C"/>
    <w:rsid w:val="0040659E"/>
    <w:rsid w:val="004075C3"/>
    <w:rsid w:val="0041035F"/>
    <w:rsid w:val="00411099"/>
    <w:rsid w:val="00411D1C"/>
    <w:rsid w:val="0041281E"/>
    <w:rsid w:val="00412889"/>
    <w:rsid w:val="00412C09"/>
    <w:rsid w:val="00413F76"/>
    <w:rsid w:val="004149F4"/>
    <w:rsid w:val="00414A9F"/>
    <w:rsid w:val="004154AB"/>
    <w:rsid w:val="00417026"/>
    <w:rsid w:val="00417B7C"/>
    <w:rsid w:val="004244B7"/>
    <w:rsid w:val="00425EE7"/>
    <w:rsid w:val="004273A9"/>
    <w:rsid w:val="0043509E"/>
    <w:rsid w:val="004372DF"/>
    <w:rsid w:val="00441D7E"/>
    <w:rsid w:val="00442025"/>
    <w:rsid w:val="00442463"/>
    <w:rsid w:val="00443381"/>
    <w:rsid w:val="0044411E"/>
    <w:rsid w:val="004441AC"/>
    <w:rsid w:val="004441EC"/>
    <w:rsid w:val="00444B5A"/>
    <w:rsid w:val="00444B66"/>
    <w:rsid w:val="004453DF"/>
    <w:rsid w:val="00451B32"/>
    <w:rsid w:val="00455617"/>
    <w:rsid w:val="004572E6"/>
    <w:rsid w:val="00460975"/>
    <w:rsid w:val="00463B5E"/>
    <w:rsid w:val="00466247"/>
    <w:rsid w:val="00467B9E"/>
    <w:rsid w:val="00470121"/>
    <w:rsid w:val="00470A53"/>
    <w:rsid w:val="00472DA8"/>
    <w:rsid w:val="00475705"/>
    <w:rsid w:val="00482A23"/>
    <w:rsid w:val="00483724"/>
    <w:rsid w:val="00483D8D"/>
    <w:rsid w:val="00483EC6"/>
    <w:rsid w:val="004840E8"/>
    <w:rsid w:val="00484268"/>
    <w:rsid w:val="00495547"/>
    <w:rsid w:val="00495566"/>
    <w:rsid w:val="00497035"/>
    <w:rsid w:val="00497A0E"/>
    <w:rsid w:val="004A01B1"/>
    <w:rsid w:val="004A1280"/>
    <w:rsid w:val="004A20AD"/>
    <w:rsid w:val="004A3E4E"/>
    <w:rsid w:val="004A7EA8"/>
    <w:rsid w:val="004B1392"/>
    <w:rsid w:val="004B1405"/>
    <w:rsid w:val="004B1573"/>
    <w:rsid w:val="004B6545"/>
    <w:rsid w:val="004C4DBC"/>
    <w:rsid w:val="004D198F"/>
    <w:rsid w:val="004D24D4"/>
    <w:rsid w:val="004D5BB2"/>
    <w:rsid w:val="004D6B0E"/>
    <w:rsid w:val="004D6D52"/>
    <w:rsid w:val="004D750F"/>
    <w:rsid w:val="004E01EE"/>
    <w:rsid w:val="004E7135"/>
    <w:rsid w:val="004F0BDC"/>
    <w:rsid w:val="004F104A"/>
    <w:rsid w:val="004F15AB"/>
    <w:rsid w:val="004F1DA6"/>
    <w:rsid w:val="004F55DC"/>
    <w:rsid w:val="004F7640"/>
    <w:rsid w:val="00505635"/>
    <w:rsid w:val="0050590D"/>
    <w:rsid w:val="00507513"/>
    <w:rsid w:val="005134AE"/>
    <w:rsid w:val="005144D5"/>
    <w:rsid w:val="005146C3"/>
    <w:rsid w:val="00517EC7"/>
    <w:rsid w:val="00521210"/>
    <w:rsid w:val="00523FE8"/>
    <w:rsid w:val="0052723E"/>
    <w:rsid w:val="00535557"/>
    <w:rsid w:val="00536E6F"/>
    <w:rsid w:val="0053703F"/>
    <w:rsid w:val="0054034A"/>
    <w:rsid w:val="00540382"/>
    <w:rsid w:val="00541B6A"/>
    <w:rsid w:val="00544385"/>
    <w:rsid w:val="00546B05"/>
    <w:rsid w:val="00546CC5"/>
    <w:rsid w:val="005471EA"/>
    <w:rsid w:val="00550A1E"/>
    <w:rsid w:val="005547BA"/>
    <w:rsid w:val="00555E2C"/>
    <w:rsid w:val="00556695"/>
    <w:rsid w:val="00563FD4"/>
    <w:rsid w:val="00565789"/>
    <w:rsid w:val="00566E94"/>
    <w:rsid w:val="00571651"/>
    <w:rsid w:val="00571BDC"/>
    <w:rsid w:val="00572B3E"/>
    <w:rsid w:val="0057594B"/>
    <w:rsid w:val="005865DA"/>
    <w:rsid w:val="005872BB"/>
    <w:rsid w:val="005912CF"/>
    <w:rsid w:val="005937C3"/>
    <w:rsid w:val="005954B6"/>
    <w:rsid w:val="005A4BA6"/>
    <w:rsid w:val="005B28E9"/>
    <w:rsid w:val="005B7BCA"/>
    <w:rsid w:val="005C077A"/>
    <w:rsid w:val="005C3882"/>
    <w:rsid w:val="005C4715"/>
    <w:rsid w:val="005C57A8"/>
    <w:rsid w:val="005C5C69"/>
    <w:rsid w:val="005C5D2E"/>
    <w:rsid w:val="005D2F4E"/>
    <w:rsid w:val="005D308F"/>
    <w:rsid w:val="005D35BE"/>
    <w:rsid w:val="005D56AA"/>
    <w:rsid w:val="005D6460"/>
    <w:rsid w:val="005D646A"/>
    <w:rsid w:val="005E0D65"/>
    <w:rsid w:val="005E24DE"/>
    <w:rsid w:val="005E47A7"/>
    <w:rsid w:val="005E5924"/>
    <w:rsid w:val="005E653B"/>
    <w:rsid w:val="005F3CF8"/>
    <w:rsid w:val="005F6162"/>
    <w:rsid w:val="005F71A5"/>
    <w:rsid w:val="005F737C"/>
    <w:rsid w:val="005F781F"/>
    <w:rsid w:val="006004CD"/>
    <w:rsid w:val="006015E2"/>
    <w:rsid w:val="0060276A"/>
    <w:rsid w:val="00603B70"/>
    <w:rsid w:val="00603C53"/>
    <w:rsid w:val="00605379"/>
    <w:rsid w:val="00605E5C"/>
    <w:rsid w:val="006118D8"/>
    <w:rsid w:val="00613E34"/>
    <w:rsid w:val="0061456A"/>
    <w:rsid w:val="006145B0"/>
    <w:rsid w:val="00616030"/>
    <w:rsid w:val="0061613F"/>
    <w:rsid w:val="00623385"/>
    <w:rsid w:val="00625E10"/>
    <w:rsid w:val="00626D38"/>
    <w:rsid w:val="0063000F"/>
    <w:rsid w:val="00630C30"/>
    <w:rsid w:val="006313D5"/>
    <w:rsid w:val="0063169E"/>
    <w:rsid w:val="0063296A"/>
    <w:rsid w:val="006344D5"/>
    <w:rsid w:val="00634BB5"/>
    <w:rsid w:val="00634EC3"/>
    <w:rsid w:val="0063526C"/>
    <w:rsid w:val="006360B9"/>
    <w:rsid w:val="00637CD5"/>
    <w:rsid w:val="006421EB"/>
    <w:rsid w:val="00642D8E"/>
    <w:rsid w:val="00642F8E"/>
    <w:rsid w:val="006435C8"/>
    <w:rsid w:val="00647BB1"/>
    <w:rsid w:val="00651E50"/>
    <w:rsid w:val="00652699"/>
    <w:rsid w:val="00654B30"/>
    <w:rsid w:val="00654F94"/>
    <w:rsid w:val="00655BE2"/>
    <w:rsid w:val="006561CC"/>
    <w:rsid w:val="00656484"/>
    <w:rsid w:val="006573A6"/>
    <w:rsid w:val="006609CD"/>
    <w:rsid w:val="00662347"/>
    <w:rsid w:val="00663246"/>
    <w:rsid w:val="006644B5"/>
    <w:rsid w:val="00665694"/>
    <w:rsid w:val="00667D72"/>
    <w:rsid w:val="00672EC2"/>
    <w:rsid w:val="00674439"/>
    <w:rsid w:val="006749EE"/>
    <w:rsid w:val="0067581F"/>
    <w:rsid w:val="006762A8"/>
    <w:rsid w:val="006769F0"/>
    <w:rsid w:val="006806BC"/>
    <w:rsid w:val="00680FD0"/>
    <w:rsid w:val="00681A43"/>
    <w:rsid w:val="006824B7"/>
    <w:rsid w:val="006824C8"/>
    <w:rsid w:val="0068270B"/>
    <w:rsid w:val="006828D2"/>
    <w:rsid w:val="006831BE"/>
    <w:rsid w:val="00683B5A"/>
    <w:rsid w:val="00686691"/>
    <w:rsid w:val="006903E3"/>
    <w:rsid w:val="006920E5"/>
    <w:rsid w:val="006970AF"/>
    <w:rsid w:val="0069774F"/>
    <w:rsid w:val="006A049A"/>
    <w:rsid w:val="006A0A49"/>
    <w:rsid w:val="006A2D99"/>
    <w:rsid w:val="006A4D06"/>
    <w:rsid w:val="006A6FA8"/>
    <w:rsid w:val="006B30D6"/>
    <w:rsid w:val="006C2C87"/>
    <w:rsid w:val="006C35C8"/>
    <w:rsid w:val="006C70D0"/>
    <w:rsid w:val="006C7465"/>
    <w:rsid w:val="006D3F9E"/>
    <w:rsid w:val="006D40C8"/>
    <w:rsid w:val="006D45AF"/>
    <w:rsid w:val="006E2395"/>
    <w:rsid w:val="006E4C3A"/>
    <w:rsid w:val="006E788F"/>
    <w:rsid w:val="006F5A36"/>
    <w:rsid w:val="00700064"/>
    <w:rsid w:val="0070352F"/>
    <w:rsid w:val="007046A2"/>
    <w:rsid w:val="00710629"/>
    <w:rsid w:val="007156C9"/>
    <w:rsid w:val="007205ED"/>
    <w:rsid w:val="0072114E"/>
    <w:rsid w:val="00723BA0"/>
    <w:rsid w:val="00724197"/>
    <w:rsid w:val="007252A8"/>
    <w:rsid w:val="00725EFF"/>
    <w:rsid w:val="00731AE4"/>
    <w:rsid w:val="007401E6"/>
    <w:rsid w:val="007419B1"/>
    <w:rsid w:val="00741C5F"/>
    <w:rsid w:val="007425E9"/>
    <w:rsid w:val="00743C27"/>
    <w:rsid w:val="00750795"/>
    <w:rsid w:val="00750A60"/>
    <w:rsid w:val="00751135"/>
    <w:rsid w:val="00753095"/>
    <w:rsid w:val="00753649"/>
    <w:rsid w:val="00755E13"/>
    <w:rsid w:val="007573AC"/>
    <w:rsid w:val="00764F65"/>
    <w:rsid w:val="0076563F"/>
    <w:rsid w:val="0076749E"/>
    <w:rsid w:val="007737E2"/>
    <w:rsid w:val="00773833"/>
    <w:rsid w:val="00774EA3"/>
    <w:rsid w:val="007772F8"/>
    <w:rsid w:val="00777776"/>
    <w:rsid w:val="0078118A"/>
    <w:rsid w:val="007817D4"/>
    <w:rsid w:val="00785772"/>
    <w:rsid w:val="00786B09"/>
    <w:rsid w:val="00786E1B"/>
    <w:rsid w:val="00787D93"/>
    <w:rsid w:val="007904C5"/>
    <w:rsid w:val="00790FAC"/>
    <w:rsid w:val="007910ED"/>
    <w:rsid w:val="007938DE"/>
    <w:rsid w:val="007966BB"/>
    <w:rsid w:val="00797222"/>
    <w:rsid w:val="007A0417"/>
    <w:rsid w:val="007A35A7"/>
    <w:rsid w:val="007A377B"/>
    <w:rsid w:val="007A5952"/>
    <w:rsid w:val="007A7A7E"/>
    <w:rsid w:val="007B13CA"/>
    <w:rsid w:val="007B6EAA"/>
    <w:rsid w:val="007C18F4"/>
    <w:rsid w:val="007C3850"/>
    <w:rsid w:val="007C610F"/>
    <w:rsid w:val="007D3F17"/>
    <w:rsid w:val="007D45ED"/>
    <w:rsid w:val="007D4CB3"/>
    <w:rsid w:val="007D56C6"/>
    <w:rsid w:val="007D59F4"/>
    <w:rsid w:val="007E5DD7"/>
    <w:rsid w:val="007E5DDE"/>
    <w:rsid w:val="007F12C2"/>
    <w:rsid w:val="007F3ED7"/>
    <w:rsid w:val="007F44C6"/>
    <w:rsid w:val="007F776A"/>
    <w:rsid w:val="007F798E"/>
    <w:rsid w:val="00803D40"/>
    <w:rsid w:val="00804C59"/>
    <w:rsid w:val="00804C61"/>
    <w:rsid w:val="00804E35"/>
    <w:rsid w:val="00806256"/>
    <w:rsid w:val="00807AE1"/>
    <w:rsid w:val="00811FCA"/>
    <w:rsid w:val="00815090"/>
    <w:rsid w:val="008150F1"/>
    <w:rsid w:val="008155E6"/>
    <w:rsid w:val="0081755D"/>
    <w:rsid w:val="008238CF"/>
    <w:rsid w:val="00825A8D"/>
    <w:rsid w:val="00825DBC"/>
    <w:rsid w:val="0082609F"/>
    <w:rsid w:val="0082720F"/>
    <w:rsid w:val="00832E30"/>
    <w:rsid w:val="00841669"/>
    <w:rsid w:val="00842917"/>
    <w:rsid w:val="00842F22"/>
    <w:rsid w:val="0084445D"/>
    <w:rsid w:val="00845AD7"/>
    <w:rsid w:val="008477FA"/>
    <w:rsid w:val="00852BE9"/>
    <w:rsid w:val="00852D97"/>
    <w:rsid w:val="0085364F"/>
    <w:rsid w:val="008540F8"/>
    <w:rsid w:val="008725CC"/>
    <w:rsid w:val="00873FEB"/>
    <w:rsid w:val="00876FF1"/>
    <w:rsid w:val="008807A1"/>
    <w:rsid w:val="00882D52"/>
    <w:rsid w:val="00885BD2"/>
    <w:rsid w:val="00897A8A"/>
    <w:rsid w:val="008A04BF"/>
    <w:rsid w:val="008A1FF3"/>
    <w:rsid w:val="008A392B"/>
    <w:rsid w:val="008A7650"/>
    <w:rsid w:val="008B0BF2"/>
    <w:rsid w:val="008B5D19"/>
    <w:rsid w:val="008C1575"/>
    <w:rsid w:val="008C5A60"/>
    <w:rsid w:val="008C6B71"/>
    <w:rsid w:val="008C6FB0"/>
    <w:rsid w:val="008C7E5F"/>
    <w:rsid w:val="008C7F60"/>
    <w:rsid w:val="008D3571"/>
    <w:rsid w:val="008D4E3D"/>
    <w:rsid w:val="008D64DE"/>
    <w:rsid w:val="008E2396"/>
    <w:rsid w:val="008E24C6"/>
    <w:rsid w:val="008E376D"/>
    <w:rsid w:val="008E5D9B"/>
    <w:rsid w:val="008F050A"/>
    <w:rsid w:val="008F2557"/>
    <w:rsid w:val="008F25E3"/>
    <w:rsid w:val="008F5F96"/>
    <w:rsid w:val="008F6392"/>
    <w:rsid w:val="008F701F"/>
    <w:rsid w:val="00900BB0"/>
    <w:rsid w:val="00900C79"/>
    <w:rsid w:val="00901603"/>
    <w:rsid w:val="00904401"/>
    <w:rsid w:val="00904A6E"/>
    <w:rsid w:val="00913954"/>
    <w:rsid w:val="00917751"/>
    <w:rsid w:val="00920085"/>
    <w:rsid w:val="00921176"/>
    <w:rsid w:val="009215DB"/>
    <w:rsid w:val="00921903"/>
    <w:rsid w:val="00925863"/>
    <w:rsid w:val="0093136C"/>
    <w:rsid w:val="00931699"/>
    <w:rsid w:val="00936C51"/>
    <w:rsid w:val="0093781F"/>
    <w:rsid w:val="0094092F"/>
    <w:rsid w:val="00942E25"/>
    <w:rsid w:val="00943D02"/>
    <w:rsid w:val="0094571B"/>
    <w:rsid w:val="009514A8"/>
    <w:rsid w:val="00952B3B"/>
    <w:rsid w:val="0095751E"/>
    <w:rsid w:val="009624D6"/>
    <w:rsid w:val="00962B5C"/>
    <w:rsid w:val="00962FF4"/>
    <w:rsid w:val="00963303"/>
    <w:rsid w:val="00965B79"/>
    <w:rsid w:val="0096672F"/>
    <w:rsid w:val="009725CC"/>
    <w:rsid w:val="00973484"/>
    <w:rsid w:val="00975107"/>
    <w:rsid w:val="00975B02"/>
    <w:rsid w:val="00976F8D"/>
    <w:rsid w:val="009771B5"/>
    <w:rsid w:val="00985003"/>
    <w:rsid w:val="00991FEB"/>
    <w:rsid w:val="00994C54"/>
    <w:rsid w:val="009A059F"/>
    <w:rsid w:val="009A063F"/>
    <w:rsid w:val="009A0E99"/>
    <w:rsid w:val="009A174B"/>
    <w:rsid w:val="009A218D"/>
    <w:rsid w:val="009A3D80"/>
    <w:rsid w:val="009B6E01"/>
    <w:rsid w:val="009C0188"/>
    <w:rsid w:val="009C02CC"/>
    <w:rsid w:val="009C08A8"/>
    <w:rsid w:val="009C23B6"/>
    <w:rsid w:val="009C274B"/>
    <w:rsid w:val="009C49F1"/>
    <w:rsid w:val="009C4AF8"/>
    <w:rsid w:val="009C5964"/>
    <w:rsid w:val="009C65D3"/>
    <w:rsid w:val="009C7A95"/>
    <w:rsid w:val="009D3EE4"/>
    <w:rsid w:val="009D4672"/>
    <w:rsid w:val="009D5249"/>
    <w:rsid w:val="009E1096"/>
    <w:rsid w:val="009E3987"/>
    <w:rsid w:val="009E6C36"/>
    <w:rsid w:val="009E6E7A"/>
    <w:rsid w:val="009E749A"/>
    <w:rsid w:val="009F246F"/>
    <w:rsid w:val="009F3011"/>
    <w:rsid w:val="009F3CBB"/>
    <w:rsid w:val="009F5F45"/>
    <w:rsid w:val="009F7AF5"/>
    <w:rsid w:val="009F7B5F"/>
    <w:rsid w:val="00A0033C"/>
    <w:rsid w:val="00A00362"/>
    <w:rsid w:val="00A01842"/>
    <w:rsid w:val="00A058BB"/>
    <w:rsid w:val="00A07694"/>
    <w:rsid w:val="00A106F3"/>
    <w:rsid w:val="00A11141"/>
    <w:rsid w:val="00A13D8D"/>
    <w:rsid w:val="00A14DC8"/>
    <w:rsid w:val="00A15655"/>
    <w:rsid w:val="00A1615B"/>
    <w:rsid w:val="00A1633E"/>
    <w:rsid w:val="00A16D1B"/>
    <w:rsid w:val="00A17F25"/>
    <w:rsid w:val="00A24711"/>
    <w:rsid w:val="00A257DC"/>
    <w:rsid w:val="00A26F89"/>
    <w:rsid w:val="00A31B69"/>
    <w:rsid w:val="00A33386"/>
    <w:rsid w:val="00A352AC"/>
    <w:rsid w:val="00A36468"/>
    <w:rsid w:val="00A410D0"/>
    <w:rsid w:val="00A441ED"/>
    <w:rsid w:val="00A4570B"/>
    <w:rsid w:val="00A461E9"/>
    <w:rsid w:val="00A46765"/>
    <w:rsid w:val="00A47E53"/>
    <w:rsid w:val="00A515F9"/>
    <w:rsid w:val="00A51637"/>
    <w:rsid w:val="00A51C6C"/>
    <w:rsid w:val="00A5577A"/>
    <w:rsid w:val="00A5627E"/>
    <w:rsid w:val="00A603A8"/>
    <w:rsid w:val="00A6154A"/>
    <w:rsid w:val="00A63AD6"/>
    <w:rsid w:val="00A64743"/>
    <w:rsid w:val="00A657E0"/>
    <w:rsid w:val="00A657F4"/>
    <w:rsid w:val="00A72BA8"/>
    <w:rsid w:val="00A73C67"/>
    <w:rsid w:val="00A74194"/>
    <w:rsid w:val="00A77627"/>
    <w:rsid w:val="00A82C0D"/>
    <w:rsid w:val="00A83C7D"/>
    <w:rsid w:val="00A86196"/>
    <w:rsid w:val="00A95640"/>
    <w:rsid w:val="00A967B7"/>
    <w:rsid w:val="00AA070B"/>
    <w:rsid w:val="00AA62B9"/>
    <w:rsid w:val="00AA7DC7"/>
    <w:rsid w:val="00AB1673"/>
    <w:rsid w:val="00AB214A"/>
    <w:rsid w:val="00AB3EE2"/>
    <w:rsid w:val="00AC2B0D"/>
    <w:rsid w:val="00AC6C61"/>
    <w:rsid w:val="00AD1A01"/>
    <w:rsid w:val="00AD27E3"/>
    <w:rsid w:val="00AD348A"/>
    <w:rsid w:val="00AD7F77"/>
    <w:rsid w:val="00AE40E5"/>
    <w:rsid w:val="00AE5AE6"/>
    <w:rsid w:val="00AF0D37"/>
    <w:rsid w:val="00AF44F4"/>
    <w:rsid w:val="00AF4849"/>
    <w:rsid w:val="00B009DF"/>
    <w:rsid w:val="00B02380"/>
    <w:rsid w:val="00B03B4B"/>
    <w:rsid w:val="00B07BD4"/>
    <w:rsid w:val="00B11B74"/>
    <w:rsid w:val="00B146A5"/>
    <w:rsid w:val="00B15161"/>
    <w:rsid w:val="00B24CE8"/>
    <w:rsid w:val="00B262D6"/>
    <w:rsid w:val="00B31281"/>
    <w:rsid w:val="00B32314"/>
    <w:rsid w:val="00B3605B"/>
    <w:rsid w:val="00B37372"/>
    <w:rsid w:val="00B4150E"/>
    <w:rsid w:val="00B415F8"/>
    <w:rsid w:val="00B42BC2"/>
    <w:rsid w:val="00B5217F"/>
    <w:rsid w:val="00B526B8"/>
    <w:rsid w:val="00B52BB9"/>
    <w:rsid w:val="00B53EFB"/>
    <w:rsid w:val="00B55F5E"/>
    <w:rsid w:val="00B564A5"/>
    <w:rsid w:val="00B570D7"/>
    <w:rsid w:val="00B61D76"/>
    <w:rsid w:val="00B66085"/>
    <w:rsid w:val="00B66178"/>
    <w:rsid w:val="00B66A75"/>
    <w:rsid w:val="00B67C04"/>
    <w:rsid w:val="00B704B6"/>
    <w:rsid w:val="00B70721"/>
    <w:rsid w:val="00B70AA2"/>
    <w:rsid w:val="00B72644"/>
    <w:rsid w:val="00B7494C"/>
    <w:rsid w:val="00B7672C"/>
    <w:rsid w:val="00B83036"/>
    <w:rsid w:val="00B84D37"/>
    <w:rsid w:val="00B85024"/>
    <w:rsid w:val="00B90531"/>
    <w:rsid w:val="00B90DCC"/>
    <w:rsid w:val="00B952D8"/>
    <w:rsid w:val="00B95746"/>
    <w:rsid w:val="00B957F0"/>
    <w:rsid w:val="00B96345"/>
    <w:rsid w:val="00B971CE"/>
    <w:rsid w:val="00BA5F52"/>
    <w:rsid w:val="00BB308E"/>
    <w:rsid w:val="00BB3CAA"/>
    <w:rsid w:val="00BB5FC7"/>
    <w:rsid w:val="00BB7D93"/>
    <w:rsid w:val="00BC0F21"/>
    <w:rsid w:val="00BC3F64"/>
    <w:rsid w:val="00BC459E"/>
    <w:rsid w:val="00BD0589"/>
    <w:rsid w:val="00BD05C2"/>
    <w:rsid w:val="00BD0709"/>
    <w:rsid w:val="00BD0F85"/>
    <w:rsid w:val="00BD6414"/>
    <w:rsid w:val="00BE075D"/>
    <w:rsid w:val="00BE4249"/>
    <w:rsid w:val="00BE4544"/>
    <w:rsid w:val="00BE58FB"/>
    <w:rsid w:val="00BE725C"/>
    <w:rsid w:val="00BF117A"/>
    <w:rsid w:val="00BF2875"/>
    <w:rsid w:val="00BF3F9F"/>
    <w:rsid w:val="00BF51C2"/>
    <w:rsid w:val="00BF6823"/>
    <w:rsid w:val="00BF714C"/>
    <w:rsid w:val="00C013BF"/>
    <w:rsid w:val="00C03AA5"/>
    <w:rsid w:val="00C04513"/>
    <w:rsid w:val="00C069DD"/>
    <w:rsid w:val="00C13673"/>
    <w:rsid w:val="00C15A12"/>
    <w:rsid w:val="00C16AF6"/>
    <w:rsid w:val="00C20C07"/>
    <w:rsid w:val="00C22A14"/>
    <w:rsid w:val="00C23ACA"/>
    <w:rsid w:val="00C246C8"/>
    <w:rsid w:val="00C24D12"/>
    <w:rsid w:val="00C27E4E"/>
    <w:rsid w:val="00C34C67"/>
    <w:rsid w:val="00C3554D"/>
    <w:rsid w:val="00C37C25"/>
    <w:rsid w:val="00C477EC"/>
    <w:rsid w:val="00C54817"/>
    <w:rsid w:val="00C61689"/>
    <w:rsid w:val="00C61712"/>
    <w:rsid w:val="00C647F4"/>
    <w:rsid w:val="00C64E97"/>
    <w:rsid w:val="00C65AD9"/>
    <w:rsid w:val="00C6622E"/>
    <w:rsid w:val="00C66419"/>
    <w:rsid w:val="00C66758"/>
    <w:rsid w:val="00C67A93"/>
    <w:rsid w:val="00C67CCE"/>
    <w:rsid w:val="00C70815"/>
    <w:rsid w:val="00C7231C"/>
    <w:rsid w:val="00C80AA3"/>
    <w:rsid w:val="00C81BD0"/>
    <w:rsid w:val="00C8263D"/>
    <w:rsid w:val="00C8357F"/>
    <w:rsid w:val="00C93C84"/>
    <w:rsid w:val="00C95BF4"/>
    <w:rsid w:val="00C9695E"/>
    <w:rsid w:val="00CA304E"/>
    <w:rsid w:val="00CA5F48"/>
    <w:rsid w:val="00CA6EE3"/>
    <w:rsid w:val="00CB2001"/>
    <w:rsid w:val="00CB3343"/>
    <w:rsid w:val="00CB59EF"/>
    <w:rsid w:val="00CB6D00"/>
    <w:rsid w:val="00CC0A37"/>
    <w:rsid w:val="00CC11B3"/>
    <w:rsid w:val="00CC3C96"/>
    <w:rsid w:val="00CC3EE8"/>
    <w:rsid w:val="00CC3EE9"/>
    <w:rsid w:val="00CC777E"/>
    <w:rsid w:val="00CD2F44"/>
    <w:rsid w:val="00CD33C2"/>
    <w:rsid w:val="00CD63FA"/>
    <w:rsid w:val="00CD6AE7"/>
    <w:rsid w:val="00CE0E81"/>
    <w:rsid w:val="00CE4685"/>
    <w:rsid w:val="00CE5C00"/>
    <w:rsid w:val="00CE600E"/>
    <w:rsid w:val="00CF05C3"/>
    <w:rsid w:val="00CF2C1F"/>
    <w:rsid w:val="00CF2DE9"/>
    <w:rsid w:val="00CF44B2"/>
    <w:rsid w:val="00CF6317"/>
    <w:rsid w:val="00D0078C"/>
    <w:rsid w:val="00D01856"/>
    <w:rsid w:val="00D036D8"/>
    <w:rsid w:val="00D04DDB"/>
    <w:rsid w:val="00D0560B"/>
    <w:rsid w:val="00D10AFA"/>
    <w:rsid w:val="00D12A45"/>
    <w:rsid w:val="00D15229"/>
    <w:rsid w:val="00D1629F"/>
    <w:rsid w:val="00D16C43"/>
    <w:rsid w:val="00D24455"/>
    <w:rsid w:val="00D25B82"/>
    <w:rsid w:val="00D274FF"/>
    <w:rsid w:val="00D4379F"/>
    <w:rsid w:val="00D45591"/>
    <w:rsid w:val="00D458BC"/>
    <w:rsid w:val="00D54565"/>
    <w:rsid w:val="00D554DB"/>
    <w:rsid w:val="00D6039F"/>
    <w:rsid w:val="00D60702"/>
    <w:rsid w:val="00D6177B"/>
    <w:rsid w:val="00D625A1"/>
    <w:rsid w:val="00D63CF5"/>
    <w:rsid w:val="00D665B0"/>
    <w:rsid w:val="00D70215"/>
    <w:rsid w:val="00D7543A"/>
    <w:rsid w:val="00D8115E"/>
    <w:rsid w:val="00D8171E"/>
    <w:rsid w:val="00D82948"/>
    <w:rsid w:val="00D947C8"/>
    <w:rsid w:val="00D962D4"/>
    <w:rsid w:val="00D96D01"/>
    <w:rsid w:val="00D9773C"/>
    <w:rsid w:val="00DA1A04"/>
    <w:rsid w:val="00DA524C"/>
    <w:rsid w:val="00DA69D7"/>
    <w:rsid w:val="00DB3165"/>
    <w:rsid w:val="00DB55BC"/>
    <w:rsid w:val="00DB6EEE"/>
    <w:rsid w:val="00DC770A"/>
    <w:rsid w:val="00DD2DA2"/>
    <w:rsid w:val="00DD483C"/>
    <w:rsid w:val="00DE42B8"/>
    <w:rsid w:val="00DE4922"/>
    <w:rsid w:val="00DE5FA9"/>
    <w:rsid w:val="00DE788C"/>
    <w:rsid w:val="00DF3A8A"/>
    <w:rsid w:val="00DF51A3"/>
    <w:rsid w:val="00DF67A9"/>
    <w:rsid w:val="00E02235"/>
    <w:rsid w:val="00E04173"/>
    <w:rsid w:val="00E0674F"/>
    <w:rsid w:val="00E102CC"/>
    <w:rsid w:val="00E13C90"/>
    <w:rsid w:val="00E21ABE"/>
    <w:rsid w:val="00E2587E"/>
    <w:rsid w:val="00E25976"/>
    <w:rsid w:val="00E36AB0"/>
    <w:rsid w:val="00E40AFA"/>
    <w:rsid w:val="00E50EE5"/>
    <w:rsid w:val="00E522A2"/>
    <w:rsid w:val="00E54B5B"/>
    <w:rsid w:val="00E54BEB"/>
    <w:rsid w:val="00E54D96"/>
    <w:rsid w:val="00E550DD"/>
    <w:rsid w:val="00E55163"/>
    <w:rsid w:val="00E62AF0"/>
    <w:rsid w:val="00E630E4"/>
    <w:rsid w:val="00E6584B"/>
    <w:rsid w:val="00E6589E"/>
    <w:rsid w:val="00E6636E"/>
    <w:rsid w:val="00E704F6"/>
    <w:rsid w:val="00E7352A"/>
    <w:rsid w:val="00E73DB1"/>
    <w:rsid w:val="00E84CA6"/>
    <w:rsid w:val="00E85071"/>
    <w:rsid w:val="00E95F02"/>
    <w:rsid w:val="00EA003C"/>
    <w:rsid w:val="00EA0A5A"/>
    <w:rsid w:val="00EA13DB"/>
    <w:rsid w:val="00EA44D8"/>
    <w:rsid w:val="00EA5F8F"/>
    <w:rsid w:val="00EA7C1E"/>
    <w:rsid w:val="00EB0C5E"/>
    <w:rsid w:val="00EB1AC8"/>
    <w:rsid w:val="00EB1BA8"/>
    <w:rsid w:val="00EB4A9B"/>
    <w:rsid w:val="00EB4F5A"/>
    <w:rsid w:val="00EB654D"/>
    <w:rsid w:val="00EB6EFF"/>
    <w:rsid w:val="00EB7CC7"/>
    <w:rsid w:val="00EC1E5C"/>
    <w:rsid w:val="00EC2094"/>
    <w:rsid w:val="00EC2943"/>
    <w:rsid w:val="00EC2A03"/>
    <w:rsid w:val="00EC4FF6"/>
    <w:rsid w:val="00EC5749"/>
    <w:rsid w:val="00EC5CC9"/>
    <w:rsid w:val="00EC6AC1"/>
    <w:rsid w:val="00EC7F8C"/>
    <w:rsid w:val="00ED0976"/>
    <w:rsid w:val="00ED3C01"/>
    <w:rsid w:val="00ED5B7B"/>
    <w:rsid w:val="00EE14A9"/>
    <w:rsid w:val="00EE5190"/>
    <w:rsid w:val="00EF4862"/>
    <w:rsid w:val="00EF6952"/>
    <w:rsid w:val="00EF6A6D"/>
    <w:rsid w:val="00EF7228"/>
    <w:rsid w:val="00F00EFC"/>
    <w:rsid w:val="00F018AB"/>
    <w:rsid w:val="00F01FF9"/>
    <w:rsid w:val="00F0477F"/>
    <w:rsid w:val="00F05A1F"/>
    <w:rsid w:val="00F06219"/>
    <w:rsid w:val="00F12A05"/>
    <w:rsid w:val="00F16F29"/>
    <w:rsid w:val="00F203D1"/>
    <w:rsid w:val="00F244FE"/>
    <w:rsid w:val="00F24C6D"/>
    <w:rsid w:val="00F35D90"/>
    <w:rsid w:val="00F36E61"/>
    <w:rsid w:val="00F37734"/>
    <w:rsid w:val="00F4175A"/>
    <w:rsid w:val="00F417AF"/>
    <w:rsid w:val="00F42236"/>
    <w:rsid w:val="00F42238"/>
    <w:rsid w:val="00F431D9"/>
    <w:rsid w:val="00F44C49"/>
    <w:rsid w:val="00F452BD"/>
    <w:rsid w:val="00F46724"/>
    <w:rsid w:val="00F46958"/>
    <w:rsid w:val="00F46E22"/>
    <w:rsid w:val="00F47190"/>
    <w:rsid w:val="00F50607"/>
    <w:rsid w:val="00F5330B"/>
    <w:rsid w:val="00F56B86"/>
    <w:rsid w:val="00F60B47"/>
    <w:rsid w:val="00F61AE8"/>
    <w:rsid w:val="00F67FF9"/>
    <w:rsid w:val="00F700E5"/>
    <w:rsid w:val="00F70104"/>
    <w:rsid w:val="00F727E7"/>
    <w:rsid w:val="00F733AE"/>
    <w:rsid w:val="00F736DE"/>
    <w:rsid w:val="00F73AC0"/>
    <w:rsid w:val="00F74786"/>
    <w:rsid w:val="00F77E25"/>
    <w:rsid w:val="00F8029F"/>
    <w:rsid w:val="00F914CA"/>
    <w:rsid w:val="00F91CB4"/>
    <w:rsid w:val="00F934D8"/>
    <w:rsid w:val="00F9382F"/>
    <w:rsid w:val="00F939DF"/>
    <w:rsid w:val="00F94554"/>
    <w:rsid w:val="00F9530D"/>
    <w:rsid w:val="00F9546E"/>
    <w:rsid w:val="00F96C42"/>
    <w:rsid w:val="00F97EB3"/>
    <w:rsid w:val="00FA33BB"/>
    <w:rsid w:val="00FA37B9"/>
    <w:rsid w:val="00FA513E"/>
    <w:rsid w:val="00FA51D2"/>
    <w:rsid w:val="00FB0018"/>
    <w:rsid w:val="00FB3343"/>
    <w:rsid w:val="00FB6E78"/>
    <w:rsid w:val="00FB7006"/>
    <w:rsid w:val="00FC28B5"/>
    <w:rsid w:val="00FC2A1A"/>
    <w:rsid w:val="00FC596F"/>
    <w:rsid w:val="00FC6B96"/>
    <w:rsid w:val="00FC7FAB"/>
    <w:rsid w:val="00FD2D41"/>
    <w:rsid w:val="00FD2E71"/>
    <w:rsid w:val="00FD67C4"/>
    <w:rsid w:val="00FD70D8"/>
    <w:rsid w:val="00FE6101"/>
    <w:rsid w:val="00FE727B"/>
    <w:rsid w:val="00FE766D"/>
    <w:rsid w:val="00FF1F16"/>
    <w:rsid w:val="00FF24D9"/>
    <w:rsid w:val="00FF6AC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272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8272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2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20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0</Pages>
  <Words>0</Words>
  <Characters>0</Characters>
  <Application>Microsoft Office Word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</dc:creator>
  <cp:keywords/>
  <dc:description/>
  <cp:lastModifiedBy>Папан</cp:lastModifiedBy>
  <cp:revision>4</cp:revision>
  <dcterms:created xsi:type="dcterms:W3CDTF">2022-01-30T16:24:00Z</dcterms:created>
  <dcterms:modified xsi:type="dcterms:W3CDTF">2022-01-30T16:32:00Z</dcterms:modified>
</cp:coreProperties>
</file>